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AC" w:rsidRPr="008A37AC" w:rsidRDefault="008A37AC" w:rsidP="008A37AC">
      <w:pPr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36"/>
          <w:szCs w:val="36"/>
          <w:lang w:eastAsia="ru-RU"/>
        </w:rPr>
        <w:t>Проектная декларация</w:t>
      </w:r>
    </w:p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Общества с ограниченной ответственностью «Лига»</w:t>
      </w:r>
    </w:p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строительству многоэтажного многоквартирного жилого дома с нежилыми помещениями</w:t>
      </w:r>
    </w:p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по строительному адресу: Рязанская область, город Рязань, район Песочня, микрорайон-7, дом 4</w:t>
      </w:r>
    </w:p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</w:p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застройщике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7248"/>
      </w:tblGrid>
      <w:tr w:rsidR="008A37AC" w:rsidRPr="008A37AC" w:rsidTr="008A37AC">
        <w:trPr>
          <w:trHeight w:val="1588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Фирменное наименование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Местонахождение Режим работы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«Лига».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Адрес (место нахождения): 391112, Рязанская область,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Рыбновский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район, город Рыбное, Весёлая улица дом 18б, литера А.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ООО «Группа компаний «ЕДИНСТВО»: 390013, </w:t>
            </w:r>
            <w:r w:rsidRPr="008A37AC">
              <w:rPr>
                <w:rFonts w:ascii="Times New Roman" w:eastAsia="Times New Roman" w:hAnsi="Times New Roman" w:cs="Times New Roman"/>
                <w:lang w:eastAsia="ru-RU"/>
              </w:rPr>
              <w:t xml:space="preserve">Рязанская область, г. Рязань, Вокзальная улица, дом 41,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lang w:eastAsia="ru-RU"/>
              </w:rPr>
              <w:t xml:space="preserve"> Н5.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Пн-Пт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8.00 до 19.00,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с 08.00 до 14.00,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выходной.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Тел.: (4912) 900-700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Государственная регистрация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 с ограниченной ответственностью «Лига»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Зарегистрировано Межрайонной Инспекцией ФНС России № 6 по Рязанской области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 сентября 2014 года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 1146215001074, ИНН 6213011294.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Учредители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Физическое лицо: Канке Александр Альфредович - 100% голосов.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37AC" w:rsidRPr="008A37AC" w:rsidTr="008A37AC">
        <w:trPr>
          <w:trHeight w:val="383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4. Участие в проектах строительства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(за 3 предшествующих года)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ООО «Лига»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осуществляет строительство многоквартирного жилого дома с нежилыми помещениями по следующим строительным адресам: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- 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Рязанская область, город Рязань, район Песочня, микрорайон-7, дом 3 (1-я секция).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Срок завершения проекта (срок передачи) – до 30 июня 2017 года включительно.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Предполагаемый срок получения разрешения на ввод в эксплуатацию строящегося дома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–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 w:eastAsia="ru-RU"/>
              </w:rPr>
              <w:t>IV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квартал 2016 года.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-  Рязанская область, город Рязань, район Песочня, микрорайон-7, дом 3 (2-я секция).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Срок завершения проекта (срок передачи) – до 30 июня 2017 года включительно.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Предполагаемый срок получения разрешения на ввод в эксплуатацию строящегося дома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- 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 w:eastAsia="ru-RU"/>
              </w:rPr>
              <w:t>IV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квартал 2016 года.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-  Рязанская область, город Рязань, район Песочня, микрорайон-7, дом 3 (3-я секция).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Срок завершения проекта (срок передачи) – до 30 июня 2018 года включительно.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Предполагаемый срок получения разрешения на ввод в эксплуатацию строящегося дома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 - 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val="en-US" w:eastAsia="ru-RU"/>
              </w:rPr>
              <w:t>IV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 квартал 2017 года.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5. Лицензируемая деятельность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июня 2016 года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Стройпромальянс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 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подряда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0027.04-2012-6215015030-С-135, выданное СРО НП «Объединение Рязанских строителей» 19.06.2012 г. на основании Решения Правления СРО НП «Объединение Рязанских строителей», протокол №96 от 19.06.2012 г. на неограниченный срок.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июня 2016 года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Застройщиком с Обществом с ограниченной ответственностью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Стройтехальянс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заключен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Договор на выполнение строительного контроля.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0026.05-2013-6234001868-С-135, выданное СРО НП «Объединение Рязанских строителей» 24 апреля 2013 г. на основании Решения Правления СРО НП «Объединение Рязанских строителей», протокол №124 от 24.04.2013 г. на неограниченный срок.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6. Финансовый результат текущего года, размер кредиторской и дебиторской задолженности на день опубликования проектной декларации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Финансовый результат – 1 588 135 рублей;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кредиторской задолженности – 3 498 518 рублей;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дебиторской задолженности – 19 347 129 рублей.</w:t>
            </w:r>
          </w:p>
        </w:tc>
      </w:tr>
    </w:tbl>
    <w:p w:rsidR="008A37AC" w:rsidRPr="008A37AC" w:rsidRDefault="008A37AC" w:rsidP="008A37AC">
      <w:pPr>
        <w:spacing w:after="0" w:line="240" w:lineRule="auto"/>
        <w:jc w:val="center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Информация о проекте строительства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7132"/>
      </w:tblGrid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 Цель проекта строительства, этапы, сроки его реализации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 многоэтажного многоквартирного жилого дома с нежилыми помещениями по строительному адресу: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Рязанская область, город Рязань, район Песочня, микрорайон-7, дом 4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(далее - «здание дома»).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Срок завершения проекта (срок </w:t>
            </w:r>
            <w:bookmarkStart w:id="0" w:name="_GoBack"/>
            <w:bookmarkEnd w:id="0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передачи) – до 31 марта 2019 года включительно.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2. Результат государственной экспертизы проектной документации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Положительное заключение экспертизы №76-2-1-3-0029-16, утвержденное Генеральным директором ООО «Верхне-Волжский Институт Строительной Экспертизы и Консалтинга» 06.05.2016 года.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3. Разрешение на строительство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Разрешение на строительство №62-29-49-2016 от «14» июня 2016 года, выдано Администрацией города Рязани.</w:t>
            </w:r>
          </w:p>
        </w:tc>
      </w:tr>
      <w:tr w:rsidR="008A37AC" w:rsidRPr="008A37AC" w:rsidTr="008A37AC">
        <w:trPr>
          <w:trHeight w:val="723"/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4. Права на земельный участок, реквизиты правоустанавливающих документов, собственник земельного участка, кадастровый номер, площадь земельного участка, 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предоставленного для строительства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lastRenderedPageBreak/>
              <w:t>Застройщик на праве аренды владеет: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земельным участком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с кадастровым № 62:29:0110006: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728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,  категория земель – земли населенных пунктов, общей площадью –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6 775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 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кв.м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x-none" w:eastAsia="ru-RU"/>
              </w:rPr>
              <w:t>, разрешенное использование: многоквартирные жилые дома (выше 12 этажей),   адрес (местоположение): Рязанская область,  г. Рязань, р-н Песочня (Октябрьский район)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x-none" w:eastAsia="ru-RU"/>
              </w:rPr>
              <w:t>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(далее – 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Участок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») на основании Договора аренды от 14 апреля 2016 года, зарегистрированного Управлением Федеральной службы государственной регистрации, кадастра и картографии по Рязанской области 19 апреля 2016 года.</w:t>
            </w:r>
          </w:p>
          <w:p w:rsidR="008A37AC" w:rsidRPr="008A37AC" w:rsidRDefault="008A37AC" w:rsidP="008A37AC">
            <w:pPr>
              <w:spacing w:after="0" w:line="240" w:lineRule="auto"/>
              <w:ind w:left="-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Собственники земельного участка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1/2 (одна вторая) доля в праве общей долевой собственности на Участок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Избенникову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Ю.Н.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 праву общей долевой собственности. Право общей долевой собственности зарегистрировано в Едином 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государственном реестре прав на недвижимое имущество и сделок с ним 04.02.2016г., запись регистрации №62-62/001-62/001/008/2016-51/1.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1/2 (одна вторая) доля в праве общей долевой собственности на Участок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принадлежит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Борисовой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Д.Ю.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праву общей долевой собственности. Право общей долевой собственности зарегистрировано в Едином государственном реестре прав на недвижимое имущество и сделок с ним 04.02.2016г., запись регистрации №62-62/001-62/001/008/2016-51/2.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5. Элементы благоустройства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Проектом предусмотрены элементы благоустройства: площадки для отдыха детей с размещением малых архитектурных форм, контейнерная площадка с твердым покрытием для мусорных контейнеров, устройство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внутридворового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проезда из асфальтобетона, площадки для парковки автотранспорта, также с учетом для использования маломобильной группой населения. Все площадки имеют соответствующие покрытие и оборудование. Для пешеходной связи разбивается сеть тротуаров. Покрытие проездов и тротуаров асфальтобетонное с бортовым камнем. Конструкция проездов и тротуаров рассчитана на нагрузку от пожарных автомобилей. Территория, свободная от застройки и проездов максимально озеленяется, высаживаются деревья и кустарники, устраиваются газоны.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Предусмотрены мероприятия по обеспечению жизнедеятельности инвалидов и других маломобильных групп населения: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запроектирован пандус при входе в жилую часть здания дома с отметки тротуара до входной площадки крыльца подъезда;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на открытой площадке для парковки автомашин выделены места для парковки автомашин водителей, относящихся к маломобильным группам населения.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6. Местоположение многоквартирного дома, его описание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house"/>
            <w:r w:rsidRPr="008A37AC">
              <w:rPr>
                <w:rFonts w:ascii="Times New Roman" w:eastAsia="Times New Roman" w:hAnsi="Times New Roman" w:cs="Times New Roman"/>
                <w:noProof/>
                <w:color w:val="60534C"/>
                <w:sz w:val="21"/>
                <w:szCs w:val="21"/>
                <w:lang w:eastAsia="ru-RU"/>
              </w:rPr>
              <w:drawing>
                <wp:inline distT="0" distB="0" distL="0" distR="0">
                  <wp:extent cx="5219700" cy="2286000"/>
                  <wp:effectExtent l="0" t="0" r="0" b="0"/>
                  <wp:docPr id="1" name="Рисунок 1" descr="http://old.edinstvo62.ru/houses/126/declaration_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ld.edinstvo62.ru/houses/126/declaration_pl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37AC">
              <w:rPr>
                <w:rFonts w:ascii="Times New Roman" w:eastAsia="Times New Roman" w:hAnsi="Times New Roman" w:cs="Times New Roman"/>
                <w:color w:val="60534C"/>
                <w:sz w:val="21"/>
                <w:szCs w:val="21"/>
                <w:lang w:eastAsia="ru-RU"/>
              </w:rPr>
              <w:t>       </w:t>
            </w:r>
            <w:bookmarkEnd w:id="1"/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Площадка строительства здания дома расположена на территории Октябрьского округа города Рязани на незастроенной территории. Памятников историко-культурного наследия на участке и прилегающей территории нет. Здание дома расположено вне пределов охранной зоны и санитарно-защитных зон предприятий и сооружений. На момент проектирования площадка свободна от застройки и сетей. В соответствии со СанПиН 2.2.1/2.1.1.1200-03, проектируемое здание дома не является источником воздействия на среду обитания и здоровья человека, и санитарно-защитная зона для него не устанавливается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Здание дома 17-ти этажное, односекционное. Здание дома имеет 15 жилых этажей, технический чердак и подвальный этаж.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Здание дома прямоугольной формы в плане. Вход в жилую часть здания дома организован с территории двора через входную группу по ступеням крыльца с навесом, для маломобильных групп населения – по пандусу с уклоном 8%. В подвальном этаже предусмотрено размещение инженерно-технических помещений: водомерный узел,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инженерные коммуникации и нежилые помещения (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внеквартиные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кладовые). Подвальный этаж имеет не менее двух обособленных выходов наружу и оборудуется вытяжной вентиляцией. Размещение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электрощитовой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предусмотрено не под жилыми комнатами и не под помещениями с мокрыми процессами (ванными, санузлами и др.). Проектом предусматривается устройство звукоизоляции в полах: укладка звукопоглощающих материалов между плитой перекрытия и плавающей стяжкой. Источники шума размещены в подвальном этаже, не под жилыми помещениями. Устройство мусоропровода в здании дома не предусматривается.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Конструктивная схема здания – железобетонный каркас с монолитными стенами, диафрагмами, пилонами, перекрытиями и ограждающими конструкциями из керамических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поризованных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камней.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Пилоны – монолитные железобетонные. Плиты перекрытия – монолитные железобетонные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безбалочные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Наружные стены из керамических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поризованных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камней защищены от воздействия внешней среды утеплителем и декоративным оштукатуриванием.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Фасады здания дома выполняются из штукатурки по утеплителю с последующей окраской фасадными красками. Цоколь здания дома оштукатуривается под окраску фасадной краской. Крыльца облицовываются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керамогранитной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плиткой.</w:t>
            </w:r>
          </w:p>
          <w:p w:rsidR="008A37AC" w:rsidRPr="008A37AC" w:rsidRDefault="008A37AC" w:rsidP="008A37AC">
            <w:pPr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 всех квартирах, где предусмотрены лоджии, запроектированы ограждения высотой 1,2 м. В квартирах, в которых остекление лоджии организовано на всю высоту этажа, применяется металлическое ограждение высотой 1,2 м от пола лоджии.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 Все квартиры имеют необходимый набор жилых и вспомогательных помещений, ориентация окон обеспечивает нормируемую инсоляцию в соответствии с требованиями СанПиН.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Отопление и горячее водоснабжение жилой части дома предусматривается от крышной газовой котельной.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В качестве отопительных приборов приняты стальные панельные радиаторы.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   Здание дома оборудуется системой хозяйственно-питьевого противопожарного водопровода. Согласно технических условий, точка подключения – проектируемый водопровод. На ответвлении холодного и горячего водоснабжения в квартиры предусматривается установка шарового крана, регулятора давления воды и счетчика.  В здании дома предусматривается устройство систем: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объединенного хозяйственно-питьевого противопожарного водоснабжения;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горячее водоснабжение здания дома осуществляется от крышной газовой котельной. В проектируемом здании дома система противопожарного водопровода объединена с хозяйственно-питьевым водопроводом. 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 В кухнях квартир-студий предусматривается система для подключения электрических плит (без установки электрических плит). В одно, двух, трехкомнатных квартирах предусматривается система газоснабжения с приборами учета без установки газовых плит.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учета расхода газа в квартирах проектом предусмотрена установка газового счетчика.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распределения электроэнергии проектом предусмотрена установка на каждом этаже щитов этажных распределительных.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   В проектной документации предусмотрено устройство сетей связи: телефонизация, радиофикация, телевидение, диспетчеризация лифтов.</w:t>
            </w:r>
          </w:p>
          <w:p w:rsidR="008A37AC" w:rsidRPr="008A37AC" w:rsidRDefault="008A37AC" w:rsidP="008A37AC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 В здании дома предусмотрена установка четырех пассажирских лифтов. Два лифта грузоподъемностью 1000 кг и два лифта грузоподъемность– 400 кг. Остановки лифтов предусмотрены с 1-по 15 этажи. Шахты лифта не имеют смежные стены с помещениями квартир. Лифты предусмотрены с машинным помещением.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Вентиляция жилой части здания – естественная приточно-вытяжная.</w:t>
            </w:r>
            <w:r w:rsidRPr="008A37AC">
              <w:rPr>
                <w:rFonts w:ascii="TimesNewRomanPSMT" w:eastAsia="Times New Roman" w:hAnsi="TimesNewRomanPSMT" w:cs="Times New Roman"/>
                <w:sz w:val="28"/>
                <w:szCs w:val="28"/>
                <w:lang w:eastAsia="ru-RU"/>
              </w:rPr>
              <w:t>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машинном помещении лифта предусмотрена естественная приточно-вытяжная </w:t>
            </w:r>
            <w:proofErr w:type="spellStart"/>
            <w:proofErr w:type="gram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вентиляция.Вентиляция</w:t>
            </w:r>
            <w:proofErr w:type="spellEnd"/>
            <w:proofErr w:type="gram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подвального этажа с кладовыми помещениями– естественная вытяжная.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Фундамент – плитный. Защита фундамента и стен подвального этажа выполняется с применением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оклеечной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горизонтальной и обмазочной вертикальной гидроизоляцией.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Кровля – плоская рулонная с организованным внутренним водостоком, не эксплуатируемая. На кровле предусматривается ограждение высотой не менее – 1,2 м. На кровле располагается крышная котельная. Вход в котельную выполнен с кровли. Вокруг котельной предусмотрено негорючее покрытие кровли.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Оконные проемы и лоджии остекляются ПВХ-профилем, </w:t>
            </w:r>
            <w:r w:rsidRPr="008A37AC">
              <w:rPr>
                <w:rFonts w:ascii="Times New Roman" w:eastAsia="Times New Roman" w:hAnsi="Times New Roman" w:cs="Times New Roman"/>
                <w:lang w:eastAsia="ru-RU"/>
              </w:rPr>
              <w:t>согласно фасадного решения.  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Застройщик оставляет за собой право на внесение изменений в проектную документацию по строительству здания дома, в том числе по изменению этажности, общей проектной площади, общего строительного объема, количества объектов долевого строительства, относительно данных, утвержденных на момент опубликования настоящей проектной декларации.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7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Количество в составе многоквартирного дома самостоятельных частей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Квартир</w:t>
            </w: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: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- 193, из них: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квартир студий – 43;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однокомнатных – 75;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двухкомнатных - 60;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трехкомнатных – 15.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(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кладовые) – 279.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8. Функциональное назначение нежилых помещений в строящемся многоквартирном доме, не входящих в состав общего имущества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 в подвальном (цокольном) этаже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– без конкретной технологии (назначения), в местах отсутствия инженерных коммуникаций предусматривается   возможностью размещения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внеквартирных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хозяйственных кладовых.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Нежилые помещения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на этажных площадках -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внеквартирные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хозяйственные кладовые.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9. Состав общего имущества в многоквартирном доме, которое будет находиться в общей долевой собственности участников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состав общего имущества дома входят: инженерные коммуникации, помещения общего пользования, в том числе - лестницы, межквартирные лестничные площадки, лифты, лифтовые и иные шахты, коридоры, крыша, технический чердак, ограждающие несущие и ненесущие конструкции,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электрощитовая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узлы ввода и учета воды, тепла, земельный участок, крышная котельная.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10. Предполагаемый срок получения разрешения на ввод в эксплуатацию строящегося дома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III 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квартал 201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года</w:t>
            </w:r>
          </w:p>
        </w:tc>
      </w:tr>
      <w:tr w:rsidR="008A37AC" w:rsidRPr="008A37AC" w:rsidTr="008A37AC">
        <w:trPr>
          <w:trHeight w:val="2321"/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11. Орган, уполномоченный в соответствии с законодательством о градостроительной деятельности на выдачу разрешения на ввод в эксплуатацию 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Администрация города Рязани.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12. Возможные финансовые и 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Застройщик относит к рискам следующие обстоятельства: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 издание нормативно-правового акта, а также действие либо бездействие государственных или местных органов власти, влияющие на ход строительства дома;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мятеж, бунт, беспорядки, военные действия и иные общественные события;</w:t>
            </w: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- пожары, наводнения, другие стихийные и природные бедствия, погодные условия, препятствующие ведению строительных работ и непосредственно влияющие на ход строительства;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любые аналогичные события и обстоятельства, выходящие за рамки контроля Застройщика.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Добровольное страхование на момент опубликования проектной декларации не осуществляется.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13. Планируемая стоимость строительства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283 337 250 рублей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14. Перечень организаций, осуществляющих строительно-монтажные и другие работы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«Лига»;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Стройпромальянс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Стройтехальянс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Евтюхин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А.Н.;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МП «Водоканал города Рязани»;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Рязаньлифт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ОАО «</w:t>
            </w:r>
            <w:proofErr w:type="spellStart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РязаньГоргаз</w:t>
            </w:r>
            <w:proofErr w:type="spellEnd"/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»;</w:t>
            </w:r>
          </w:p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ООО «Группа компаний «ЕДИНСТВО».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15. Способ обеспечений исполнений обязательств Застройщика по договорам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– «Закон») обеспечение обязательств по договорам участия в долевом строительстве осуществляется: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залог – в порядке, установленном статьями 13-15 Закона;</w:t>
            </w:r>
          </w:p>
          <w:p w:rsidR="008A37AC" w:rsidRPr="008A37AC" w:rsidRDefault="008A37AC" w:rsidP="008A37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страхование гражданской ответственности Застройщика за неисполнение или ненадлежащее исполнение обязательств по передаче жилого помещения </w:t>
            </w:r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участнику долевого строительства по каждому договору в порядке, установленном </w:t>
            </w:r>
            <w:hyperlink r:id="rId5" w:history="1">
              <w:r w:rsidRPr="008A37A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статьей 15.2</w:t>
              </w:r>
            </w:hyperlink>
            <w:r w:rsidRPr="008A3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Закона.</w:t>
            </w:r>
          </w:p>
        </w:tc>
      </w:tr>
      <w:tr w:rsidR="008A37AC" w:rsidRPr="008A37AC" w:rsidTr="008A37AC">
        <w:trPr>
          <w:tblCellSpacing w:w="15" w:type="dxa"/>
        </w:trPr>
        <w:tc>
          <w:tcPr>
            <w:tcW w:w="11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16. Иные договоры и сделки на основании которых привлекаются денежные средства для строительства</w:t>
            </w:r>
          </w:p>
        </w:tc>
        <w:tc>
          <w:tcPr>
            <w:tcW w:w="38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A37AC" w:rsidRPr="008A37AC" w:rsidRDefault="008A37AC" w:rsidP="008A37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7A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Нет.</w:t>
            </w:r>
          </w:p>
        </w:tc>
      </w:tr>
    </w:tbl>
    <w:p w:rsidR="008A37AC" w:rsidRPr="008A37AC" w:rsidRDefault="008A37AC" w:rsidP="008A37A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b/>
          <w:bCs/>
          <w:color w:val="60534C"/>
          <w:sz w:val="21"/>
          <w:szCs w:val="21"/>
          <w:lang w:eastAsia="ru-RU"/>
        </w:rPr>
        <w:t>  </w:t>
      </w:r>
    </w:p>
    <w:p w:rsidR="008A37AC" w:rsidRPr="008A37AC" w:rsidRDefault="008A37AC" w:rsidP="008A37AC">
      <w:pPr>
        <w:spacing w:after="0" w:line="240" w:lineRule="auto"/>
        <w:rPr>
          <w:rFonts w:ascii="Calibri" w:eastAsia="Times New Roman" w:hAnsi="Calibri" w:cs="Calibri"/>
          <w:color w:val="60534C"/>
          <w:sz w:val="21"/>
          <w:szCs w:val="21"/>
          <w:lang w:eastAsia="ru-RU"/>
        </w:rPr>
      </w:pPr>
      <w:r w:rsidRPr="008A37A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t> </w:t>
      </w:r>
    </w:p>
    <w:p w:rsidR="00453F06" w:rsidRDefault="008A37AC" w:rsidP="008A37AC">
      <w:r w:rsidRPr="008A37AC">
        <w:rPr>
          <w:rFonts w:ascii="Calibri" w:eastAsia="Times New Roman" w:hAnsi="Calibri" w:cs="Calibri"/>
          <w:color w:val="60534C"/>
          <w:sz w:val="21"/>
          <w:szCs w:val="21"/>
          <w:lang w:eastAsia="ru-RU"/>
        </w:rPr>
        <w:br/>
        <w:t>14 июня 2016 года.</w:t>
      </w:r>
    </w:p>
    <w:sectPr w:rsidR="004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AC"/>
    <w:rsid w:val="00453F06"/>
    <w:rsid w:val="008A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F35AF-EAFB-41D5-A6AA-FD346A33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3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37AC"/>
    <w:rPr>
      <w:b/>
      <w:bCs/>
    </w:rPr>
  </w:style>
  <w:style w:type="character" w:customStyle="1" w:styleId="apple-converted-space">
    <w:name w:val="apple-converted-space"/>
    <w:basedOn w:val="a0"/>
    <w:rsid w:val="008A37AC"/>
  </w:style>
  <w:style w:type="character" w:styleId="a5">
    <w:name w:val="Hyperlink"/>
    <w:basedOn w:val="a0"/>
    <w:uiPriority w:val="99"/>
    <w:semiHidden/>
    <w:unhideWhenUsed/>
    <w:rsid w:val="008A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45187AAF29202C0525DB63FF0F033A5751D68194CC0D6DDBC30E3CE8662E9DF8AD8999n9tA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2315</Words>
  <Characters>13197</Characters>
  <Application>Microsoft Office Word</Application>
  <DocSecurity>0</DocSecurity>
  <Lines>109</Lines>
  <Paragraphs>30</Paragraphs>
  <ScaleCrop>false</ScaleCrop>
  <Company/>
  <LinksUpToDate>false</LinksUpToDate>
  <CharactersWithSpaces>15482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1</cp:revision>
  <dcterms:created xsi:type="dcterms:W3CDTF">2017-06-12T15:14:00Z</dcterms:created>
  <dcterms:modified xsi:type="dcterms:W3CDTF">2017-06-12T15:14:00Z</dcterms:modified>
</cp:coreProperties>
</file>